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69101" w14:textId="1F2D213A" w:rsidR="00CB1C0C" w:rsidRPr="00B21F21" w:rsidRDefault="00D6216A">
      <w:pPr>
        <w:rPr>
          <w:rFonts w:ascii="Source Sans Pro" w:hAnsi="Source Sans Pro"/>
        </w:rPr>
      </w:pPr>
      <w:r w:rsidRPr="00B21F21">
        <w:rPr>
          <w:rFonts w:ascii="Source Sans Pro" w:hAnsi="Source Sans Pro"/>
        </w:rPr>
        <w:t>WAMPO Household Travel Survey Request for Proposals Q&amp;A</w:t>
      </w:r>
    </w:p>
    <w:p w14:paraId="01ECA8B6" w14:textId="493A7D6E" w:rsidR="00B21F21" w:rsidRPr="00B21F21" w:rsidRDefault="00B21F21" w:rsidP="00B21F21">
      <w:pPr>
        <w:pStyle w:val="NormalWeb"/>
        <w:rPr>
          <w:rFonts w:ascii="Source Sans Pro" w:hAnsi="Source Sans Pro"/>
        </w:rPr>
      </w:pPr>
      <w:r w:rsidRPr="00B21F21">
        <w:rPr>
          <w:rStyle w:val="Strong"/>
          <w:rFonts w:ascii="Source Sans Pro" w:eastAsiaTheme="majorEastAsia" w:hAnsi="Source Sans Pro"/>
        </w:rPr>
        <w:t>Question 1:</w:t>
      </w:r>
      <w:r w:rsidRPr="00B21F21">
        <w:rPr>
          <w:rFonts w:ascii="Source Sans Pro" w:hAnsi="Source Sans Pro"/>
        </w:rPr>
        <w:t xml:space="preserve"> Will WAMPO ensure the participant list is available with the Q&amp;A?</w:t>
      </w:r>
      <w:r w:rsidRPr="00B21F21">
        <w:rPr>
          <w:rFonts w:ascii="Source Sans Pro" w:hAnsi="Source Sans Pro"/>
        </w:rPr>
        <w:br/>
      </w:r>
      <w:r w:rsidRPr="00B21F21">
        <w:rPr>
          <w:rStyle w:val="Strong"/>
          <w:rFonts w:ascii="Source Sans Pro" w:eastAsiaTheme="majorEastAsia" w:hAnsi="Source Sans Pro"/>
        </w:rPr>
        <w:t>Answer 1:</w:t>
      </w:r>
      <w:r w:rsidRPr="00B21F21">
        <w:rPr>
          <w:rFonts w:ascii="Source Sans Pro" w:hAnsi="Source Sans Pro"/>
        </w:rPr>
        <w:t xml:space="preserve"> The following consulting firms </w:t>
      </w:r>
      <w:r w:rsidR="008E3DB4">
        <w:rPr>
          <w:rFonts w:ascii="Source Sans Pro" w:hAnsi="Source Sans Pro"/>
        </w:rPr>
        <w:t>had staff present</w:t>
      </w:r>
      <w:r w:rsidRPr="00B21F21">
        <w:rPr>
          <w:rFonts w:ascii="Source Sans Pro" w:hAnsi="Source Sans Pro"/>
        </w:rPr>
        <w:t xml:space="preserve"> at the pre-proposal conference meeting: JEO, WSP, ETC, RSG, Westat, Streetlight, and Henne Group.</w:t>
      </w:r>
    </w:p>
    <w:p w14:paraId="6F10F7DA" w14:textId="77777777" w:rsidR="00B21F21" w:rsidRPr="00B21F21" w:rsidRDefault="00B21F21" w:rsidP="00B21F21">
      <w:pPr>
        <w:pStyle w:val="NormalWeb"/>
        <w:rPr>
          <w:rFonts w:ascii="Source Sans Pro" w:hAnsi="Source Sans Pro"/>
        </w:rPr>
      </w:pPr>
      <w:r w:rsidRPr="00B21F21">
        <w:rPr>
          <w:rStyle w:val="Strong"/>
          <w:rFonts w:ascii="Source Sans Pro" w:eastAsiaTheme="majorEastAsia" w:hAnsi="Source Sans Pro"/>
        </w:rPr>
        <w:t>Question 2:</w:t>
      </w:r>
      <w:r w:rsidRPr="00B21F21">
        <w:rPr>
          <w:rFonts w:ascii="Source Sans Pro" w:hAnsi="Source Sans Pro"/>
        </w:rPr>
        <w:t xml:space="preserve"> Has the Project Manager been identified?</w:t>
      </w:r>
      <w:r w:rsidRPr="00B21F21">
        <w:rPr>
          <w:rFonts w:ascii="Source Sans Pro" w:hAnsi="Source Sans Pro"/>
        </w:rPr>
        <w:br/>
      </w:r>
      <w:r w:rsidRPr="00B21F21">
        <w:rPr>
          <w:rStyle w:val="Strong"/>
          <w:rFonts w:ascii="Source Sans Pro" w:eastAsiaTheme="majorEastAsia" w:hAnsi="Source Sans Pro"/>
        </w:rPr>
        <w:t>Answer 2:</w:t>
      </w:r>
      <w:r w:rsidRPr="00B21F21">
        <w:rPr>
          <w:rFonts w:ascii="Source Sans Pro" w:hAnsi="Source Sans Pro"/>
        </w:rPr>
        <w:t xml:space="preserve"> Yes. The Project Managers are Nick Flanders and Peter Mohr, who will serve as Co-Project Managers.</w:t>
      </w:r>
    </w:p>
    <w:p w14:paraId="790146B4" w14:textId="78188E83" w:rsidR="00B21F21" w:rsidRPr="00B21F21" w:rsidRDefault="00B21F21" w:rsidP="00B21F21">
      <w:pPr>
        <w:pStyle w:val="NormalWeb"/>
        <w:rPr>
          <w:rFonts w:ascii="Source Sans Pro" w:hAnsi="Source Sans Pro"/>
        </w:rPr>
      </w:pPr>
      <w:r w:rsidRPr="00B21F21">
        <w:rPr>
          <w:rStyle w:val="Strong"/>
          <w:rFonts w:ascii="Source Sans Pro" w:eastAsiaTheme="majorEastAsia" w:hAnsi="Source Sans Pro"/>
        </w:rPr>
        <w:t>Question 3:</w:t>
      </w:r>
      <w:r w:rsidRPr="00B21F21">
        <w:rPr>
          <w:rFonts w:ascii="Source Sans Pro" w:hAnsi="Source Sans Pro"/>
        </w:rPr>
        <w:t xml:space="preserve"> Are there known data gaps from the 2011 survey that you hope this effort will address?</w:t>
      </w:r>
      <w:r w:rsidRPr="00B21F21">
        <w:rPr>
          <w:rFonts w:ascii="Source Sans Pro" w:hAnsi="Source Sans Pro"/>
        </w:rPr>
        <w:br/>
      </w:r>
      <w:r w:rsidRPr="00B21F21">
        <w:rPr>
          <w:rStyle w:val="Strong"/>
          <w:rFonts w:ascii="Source Sans Pro" w:eastAsiaTheme="majorEastAsia" w:hAnsi="Source Sans Pro"/>
        </w:rPr>
        <w:t>Answer 3:</w:t>
      </w:r>
      <w:r w:rsidRPr="00B21F21">
        <w:rPr>
          <w:rFonts w:ascii="Source Sans Pro" w:hAnsi="Source Sans Pro"/>
        </w:rPr>
        <w:t xml:space="preserve"> No specific data gaps </w:t>
      </w:r>
      <w:r w:rsidR="00FB54F7">
        <w:rPr>
          <w:rFonts w:ascii="Source Sans Pro" w:hAnsi="Source Sans Pro"/>
        </w:rPr>
        <w:t xml:space="preserve">were </w:t>
      </w:r>
      <w:r w:rsidRPr="00B21F21">
        <w:rPr>
          <w:rFonts w:ascii="Source Sans Pro" w:hAnsi="Source Sans Pro"/>
        </w:rPr>
        <w:t>identified</w:t>
      </w:r>
      <w:r w:rsidR="00FB54F7">
        <w:rPr>
          <w:rFonts w:ascii="Source Sans Pro" w:hAnsi="Source Sans Pro"/>
        </w:rPr>
        <w:t xml:space="preserve"> in the last WAMPO regional household survey</w:t>
      </w:r>
      <w:r w:rsidRPr="00B21F21">
        <w:rPr>
          <w:rFonts w:ascii="Source Sans Pro" w:hAnsi="Source Sans Pro"/>
        </w:rPr>
        <w:t xml:space="preserve">. This </w:t>
      </w:r>
      <w:r w:rsidR="00FB54F7">
        <w:rPr>
          <w:rFonts w:ascii="Source Sans Pro" w:hAnsi="Source Sans Pro"/>
        </w:rPr>
        <w:t>project is</w:t>
      </w:r>
      <w:r w:rsidRPr="00B21F21">
        <w:rPr>
          <w:rFonts w:ascii="Source Sans Pro" w:hAnsi="Source Sans Pro"/>
        </w:rPr>
        <w:t xml:space="preserve"> intended </w:t>
      </w:r>
      <w:r w:rsidR="00FB54F7">
        <w:rPr>
          <w:rFonts w:ascii="Source Sans Pro" w:hAnsi="Source Sans Pro"/>
        </w:rPr>
        <w:t>to be</w:t>
      </w:r>
      <w:r w:rsidRPr="00B21F21">
        <w:rPr>
          <w:rFonts w:ascii="Source Sans Pro" w:hAnsi="Source Sans Pro"/>
        </w:rPr>
        <w:t xml:space="preserve"> a routine, but comprehensive update to the 2011 survey.</w:t>
      </w:r>
    </w:p>
    <w:p w14:paraId="41025682" w14:textId="7B94D575" w:rsidR="00B21F21" w:rsidRPr="00B21F21" w:rsidRDefault="00B21F21" w:rsidP="00B21F21">
      <w:pPr>
        <w:pStyle w:val="NormalWeb"/>
        <w:rPr>
          <w:rFonts w:ascii="Source Sans Pro" w:hAnsi="Source Sans Pro"/>
        </w:rPr>
      </w:pPr>
      <w:r w:rsidRPr="00B21F21">
        <w:rPr>
          <w:rStyle w:val="Strong"/>
          <w:rFonts w:ascii="Source Sans Pro" w:eastAsiaTheme="majorEastAsia" w:hAnsi="Source Sans Pro"/>
        </w:rPr>
        <w:t>Question 4:</w:t>
      </w:r>
      <w:r w:rsidRPr="00B21F21">
        <w:rPr>
          <w:rFonts w:ascii="Source Sans Pro" w:hAnsi="Source Sans Pro"/>
        </w:rPr>
        <w:t xml:space="preserve"> Will the public-facing website be hosted by WAMPO or the selected consultant?</w:t>
      </w:r>
      <w:r w:rsidRPr="00B21F21">
        <w:rPr>
          <w:rFonts w:ascii="Source Sans Pro" w:hAnsi="Source Sans Pro"/>
        </w:rPr>
        <w:br/>
      </w:r>
      <w:r w:rsidRPr="00B21F21">
        <w:rPr>
          <w:rStyle w:val="Strong"/>
          <w:rFonts w:ascii="Source Sans Pro" w:eastAsiaTheme="majorEastAsia" w:hAnsi="Source Sans Pro"/>
        </w:rPr>
        <w:t>Answer 4:</w:t>
      </w:r>
      <w:r w:rsidR="008E3DB4">
        <w:rPr>
          <w:rFonts w:ascii="Source Sans Pro" w:hAnsi="Source Sans Pro"/>
        </w:rPr>
        <w:t xml:space="preserve"> T</w:t>
      </w:r>
      <w:r w:rsidRPr="00B21F21">
        <w:rPr>
          <w:rFonts w:ascii="Source Sans Pro" w:hAnsi="Source Sans Pro"/>
        </w:rPr>
        <w:t>he hosting arrangement will be discussed and finalized during the project.</w:t>
      </w:r>
    </w:p>
    <w:p w14:paraId="11BDA174" w14:textId="2147CB2E" w:rsidR="00B21F21" w:rsidRPr="00B21F21" w:rsidRDefault="00B21F21" w:rsidP="00B21F21">
      <w:pPr>
        <w:pStyle w:val="NormalWeb"/>
        <w:rPr>
          <w:rFonts w:ascii="Source Sans Pro" w:hAnsi="Source Sans Pro"/>
        </w:rPr>
      </w:pPr>
      <w:r w:rsidRPr="00B21F21">
        <w:rPr>
          <w:rStyle w:val="Strong"/>
          <w:rFonts w:ascii="Source Sans Pro" w:eastAsiaTheme="majorEastAsia" w:hAnsi="Source Sans Pro"/>
        </w:rPr>
        <w:t>Question 5:</w:t>
      </w:r>
      <w:r w:rsidRPr="00B21F21">
        <w:rPr>
          <w:rFonts w:ascii="Source Sans Pro" w:hAnsi="Source Sans Pro"/>
        </w:rPr>
        <w:t xml:space="preserve"> Do you have a preferred method for data collection (e.g., web survey, telephone, focus groups, paper)?</w:t>
      </w:r>
      <w:r w:rsidRPr="00B21F21">
        <w:rPr>
          <w:rFonts w:ascii="Source Sans Pro" w:hAnsi="Source Sans Pro"/>
        </w:rPr>
        <w:br/>
      </w:r>
      <w:r w:rsidRPr="00B21F21">
        <w:rPr>
          <w:rStyle w:val="Strong"/>
          <w:rFonts w:ascii="Source Sans Pro" w:eastAsiaTheme="majorEastAsia" w:hAnsi="Source Sans Pro"/>
        </w:rPr>
        <w:t>Answer 5:</w:t>
      </w:r>
      <w:r w:rsidRPr="00B21F21">
        <w:rPr>
          <w:rFonts w:ascii="Source Sans Pro" w:hAnsi="Source Sans Pro"/>
        </w:rPr>
        <w:t xml:space="preserve"> No prescribed method has been outlined. During the project, the chosen consultant and WAMPO staff will work together to identify the most appropriate and effective </w:t>
      </w:r>
      <w:r w:rsidR="008E3DB4">
        <w:rPr>
          <w:rFonts w:ascii="Source Sans Pro" w:hAnsi="Source Sans Pro"/>
        </w:rPr>
        <w:t xml:space="preserve">survey </w:t>
      </w:r>
      <w:r w:rsidRPr="00B21F21">
        <w:rPr>
          <w:rFonts w:ascii="Source Sans Pro" w:hAnsi="Source Sans Pro"/>
        </w:rPr>
        <w:t xml:space="preserve">approach that </w:t>
      </w:r>
      <w:r>
        <w:rPr>
          <w:rFonts w:ascii="Source Sans Pro" w:hAnsi="Source Sans Pro"/>
        </w:rPr>
        <w:t xml:space="preserve">also </w:t>
      </w:r>
      <w:r w:rsidRPr="00B21F21">
        <w:rPr>
          <w:rFonts w:ascii="Source Sans Pro" w:hAnsi="Source Sans Pro"/>
        </w:rPr>
        <w:t>leverages advances in technology since 2011.</w:t>
      </w:r>
    </w:p>
    <w:p w14:paraId="32E7AC05" w14:textId="010DBB3A" w:rsidR="00B21F21" w:rsidRPr="00B21F21" w:rsidRDefault="00B21F21" w:rsidP="00B21F21">
      <w:pPr>
        <w:pStyle w:val="NormalWeb"/>
        <w:rPr>
          <w:rFonts w:ascii="Source Sans Pro" w:hAnsi="Source Sans Pro"/>
        </w:rPr>
      </w:pPr>
      <w:r w:rsidRPr="00B21F21">
        <w:rPr>
          <w:rStyle w:val="Strong"/>
          <w:rFonts w:ascii="Source Sans Pro" w:eastAsiaTheme="majorEastAsia" w:hAnsi="Source Sans Pro"/>
        </w:rPr>
        <w:t>Question 6:</w:t>
      </w:r>
      <w:r w:rsidRPr="00B21F21">
        <w:rPr>
          <w:rFonts w:ascii="Source Sans Pro" w:hAnsi="Source Sans Pro"/>
        </w:rPr>
        <w:t xml:space="preserve"> Has the HTS Steering Committee already been identified, and if so, can you share its makeup?</w:t>
      </w:r>
      <w:r w:rsidRPr="00B21F21">
        <w:rPr>
          <w:rFonts w:ascii="Source Sans Pro" w:hAnsi="Source Sans Pro"/>
        </w:rPr>
        <w:br/>
      </w:r>
      <w:r w:rsidRPr="00B21F21">
        <w:rPr>
          <w:rStyle w:val="Strong"/>
          <w:rFonts w:ascii="Source Sans Pro" w:eastAsiaTheme="majorEastAsia" w:hAnsi="Source Sans Pro"/>
        </w:rPr>
        <w:t>Answer 6:</w:t>
      </w:r>
      <w:r w:rsidRPr="00B21F21">
        <w:rPr>
          <w:rFonts w:ascii="Source Sans Pro" w:hAnsi="Source Sans Pro"/>
        </w:rPr>
        <w:t xml:space="preserve"> The Steering Committee roster has not been finalized. It</w:t>
      </w:r>
      <w:r w:rsidR="008E3DB4">
        <w:rPr>
          <w:rFonts w:ascii="Source Sans Pro" w:hAnsi="Source Sans Pro"/>
        </w:rPr>
        <w:t xml:space="preserve"> likely</w:t>
      </w:r>
      <w:r w:rsidRPr="00B21F21">
        <w:rPr>
          <w:rFonts w:ascii="Source Sans Pro" w:hAnsi="Source Sans Pro"/>
        </w:rPr>
        <w:t xml:space="preserve"> will include members of </w:t>
      </w:r>
      <w:r w:rsidR="00F93D9A">
        <w:rPr>
          <w:rFonts w:ascii="Source Sans Pro" w:hAnsi="Source Sans Pro"/>
        </w:rPr>
        <w:t xml:space="preserve">WAMPO’s </w:t>
      </w:r>
      <w:r w:rsidRPr="00B21F21">
        <w:rPr>
          <w:rFonts w:ascii="Source Sans Pro" w:hAnsi="Source Sans Pro"/>
        </w:rPr>
        <w:t>Transportation Advisory Committee (TAC) and representatives from municipalities and</w:t>
      </w:r>
      <w:r w:rsidR="008E3DB4">
        <w:rPr>
          <w:rFonts w:ascii="Source Sans Pro" w:hAnsi="Source Sans Pro"/>
        </w:rPr>
        <w:t xml:space="preserve"> other</w:t>
      </w:r>
      <w:r w:rsidRPr="00B21F21">
        <w:rPr>
          <w:rFonts w:ascii="Source Sans Pro" w:hAnsi="Source Sans Pro"/>
        </w:rPr>
        <w:t xml:space="preserve"> jurisdictions across the region.</w:t>
      </w:r>
    </w:p>
    <w:p w14:paraId="7CBEFD3A" w14:textId="102D9AE5" w:rsidR="00B21F21" w:rsidRPr="00B21F21" w:rsidRDefault="00B21F21" w:rsidP="00B21F21">
      <w:pPr>
        <w:pStyle w:val="NormalWeb"/>
        <w:rPr>
          <w:rFonts w:ascii="Source Sans Pro" w:hAnsi="Source Sans Pro"/>
        </w:rPr>
      </w:pPr>
      <w:r w:rsidRPr="00B21F21">
        <w:rPr>
          <w:rStyle w:val="Strong"/>
          <w:rFonts w:ascii="Source Sans Pro" w:eastAsiaTheme="majorEastAsia" w:hAnsi="Source Sans Pro"/>
        </w:rPr>
        <w:t>Question 7:</w:t>
      </w:r>
      <w:r w:rsidRPr="00B21F21">
        <w:rPr>
          <w:rFonts w:ascii="Source Sans Pro" w:hAnsi="Source Sans Pro"/>
        </w:rPr>
        <w:t xml:space="preserve"> Are incentives </w:t>
      </w:r>
      <w:proofErr w:type="gramStart"/>
      <w:r w:rsidRPr="00B21F21">
        <w:rPr>
          <w:rFonts w:ascii="Source Sans Pro" w:hAnsi="Source Sans Pro"/>
        </w:rPr>
        <w:t>for</w:t>
      </w:r>
      <w:r w:rsidR="00F93D9A">
        <w:rPr>
          <w:rFonts w:ascii="Source Sans Pro" w:hAnsi="Source Sans Pro"/>
        </w:rPr>
        <w:t xml:space="preserve"> (survey)</w:t>
      </w:r>
      <w:proofErr w:type="gramEnd"/>
      <w:r w:rsidRPr="00B21F21">
        <w:rPr>
          <w:rFonts w:ascii="Source Sans Pro" w:hAnsi="Source Sans Pro"/>
        </w:rPr>
        <w:t xml:space="preserve"> participants included in the $1.5 million budget, or should they be detailed separately?</w:t>
      </w:r>
      <w:r w:rsidRPr="00B21F21">
        <w:rPr>
          <w:rFonts w:ascii="Source Sans Pro" w:hAnsi="Source Sans Pro"/>
        </w:rPr>
        <w:br/>
      </w:r>
      <w:r w:rsidRPr="00B21F21">
        <w:rPr>
          <w:rStyle w:val="Strong"/>
          <w:rFonts w:ascii="Source Sans Pro" w:eastAsiaTheme="majorEastAsia" w:hAnsi="Source Sans Pro"/>
        </w:rPr>
        <w:t>Answer 7:</w:t>
      </w:r>
      <w:r w:rsidR="00F93D9A">
        <w:rPr>
          <w:rFonts w:ascii="Source Sans Pro" w:hAnsi="Source Sans Pro"/>
        </w:rPr>
        <w:t xml:space="preserve"> R</w:t>
      </w:r>
      <w:r w:rsidRPr="00B21F21">
        <w:rPr>
          <w:rFonts w:ascii="Source Sans Pro" w:hAnsi="Source Sans Pro"/>
        </w:rPr>
        <w:t xml:space="preserve">eimbursement eligibility for incentives </w:t>
      </w:r>
      <w:r w:rsidR="00F93D9A">
        <w:rPr>
          <w:rFonts w:ascii="Source Sans Pro" w:hAnsi="Source Sans Pro"/>
        </w:rPr>
        <w:t xml:space="preserve">has yet to be confirmed by </w:t>
      </w:r>
      <w:r w:rsidRPr="00B21F21">
        <w:rPr>
          <w:rFonts w:ascii="Source Sans Pro" w:hAnsi="Source Sans Pro"/>
        </w:rPr>
        <w:t>KDOT. If allowed, incentives would be funded from the $1.5 million budget.</w:t>
      </w:r>
    </w:p>
    <w:p w14:paraId="460589DD" w14:textId="77777777" w:rsidR="00B21F21" w:rsidRPr="00B21F21" w:rsidRDefault="00B21F21" w:rsidP="00B21F21">
      <w:pPr>
        <w:pStyle w:val="NormalWeb"/>
        <w:rPr>
          <w:rFonts w:ascii="Source Sans Pro" w:hAnsi="Source Sans Pro"/>
        </w:rPr>
      </w:pPr>
      <w:r w:rsidRPr="00B21F21">
        <w:rPr>
          <w:rStyle w:val="Strong"/>
          <w:rFonts w:ascii="Source Sans Pro" w:eastAsiaTheme="majorEastAsia" w:hAnsi="Source Sans Pro"/>
        </w:rPr>
        <w:t>Question 8:</w:t>
      </w:r>
      <w:r w:rsidRPr="00B21F21">
        <w:rPr>
          <w:rFonts w:ascii="Source Sans Pro" w:hAnsi="Source Sans Pro"/>
        </w:rPr>
        <w:t xml:space="preserve"> Would it be helpful to have the survey available in different </w:t>
      </w:r>
      <w:proofErr w:type="gramStart"/>
      <w:r w:rsidRPr="00B21F21">
        <w:rPr>
          <w:rFonts w:ascii="Source Sans Pro" w:hAnsi="Source Sans Pro"/>
        </w:rPr>
        <w:t>languages, or</w:t>
      </w:r>
      <w:proofErr w:type="gramEnd"/>
      <w:r w:rsidRPr="00B21F21">
        <w:rPr>
          <w:rFonts w:ascii="Source Sans Pro" w:hAnsi="Source Sans Pro"/>
        </w:rPr>
        <w:t xml:space="preserve"> is English preferred?</w:t>
      </w:r>
      <w:r w:rsidRPr="00B21F21">
        <w:rPr>
          <w:rFonts w:ascii="Source Sans Pro" w:hAnsi="Source Sans Pro"/>
        </w:rPr>
        <w:br/>
      </w:r>
      <w:r w:rsidRPr="00B21F21">
        <w:rPr>
          <w:rStyle w:val="Strong"/>
          <w:rFonts w:ascii="Source Sans Pro" w:eastAsiaTheme="majorEastAsia" w:hAnsi="Source Sans Pro"/>
        </w:rPr>
        <w:lastRenderedPageBreak/>
        <w:t>Answer 8:</w:t>
      </w:r>
      <w:r w:rsidRPr="00B21F21">
        <w:rPr>
          <w:rFonts w:ascii="Source Sans Pro" w:hAnsi="Source Sans Pro"/>
        </w:rPr>
        <w:t xml:space="preserve"> The survey should be available in languages identified in WAMPO’s Limited English Proficiency (LEP) Plan. Currently, those languages are English, Spanish, and Vietnamese.</w:t>
      </w:r>
    </w:p>
    <w:p w14:paraId="5D86BD6C" w14:textId="3CE3B808" w:rsidR="00B21F21" w:rsidRPr="00B21F21" w:rsidRDefault="00B21F21" w:rsidP="00B21F21">
      <w:pPr>
        <w:pStyle w:val="NormalWeb"/>
        <w:rPr>
          <w:rFonts w:ascii="Source Sans Pro" w:hAnsi="Source Sans Pro"/>
        </w:rPr>
      </w:pPr>
      <w:r w:rsidRPr="00B21F21">
        <w:rPr>
          <w:rStyle w:val="Strong"/>
          <w:rFonts w:ascii="Source Sans Pro" w:eastAsiaTheme="majorEastAsia" w:hAnsi="Source Sans Pro"/>
        </w:rPr>
        <w:t>Question 9:</w:t>
      </w:r>
      <w:r w:rsidRPr="00B21F21">
        <w:rPr>
          <w:rFonts w:ascii="Source Sans Pro" w:hAnsi="Source Sans Pro"/>
        </w:rPr>
        <w:t xml:space="preserve"> What about Arabic?</w:t>
      </w:r>
      <w:r w:rsidR="00FB54F7">
        <w:rPr>
          <w:rFonts w:ascii="Source Sans Pro" w:hAnsi="Source Sans Pro"/>
        </w:rPr>
        <w:t xml:space="preserve"> (For surveys)</w:t>
      </w:r>
      <w:r w:rsidRPr="00B21F21">
        <w:rPr>
          <w:rFonts w:ascii="Source Sans Pro" w:hAnsi="Source Sans Pro"/>
        </w:rPr>
        <w:br/>
      </w:r>
      <w:r w:rsidRPr="00B21F21">
        <w:rPr>
          <w:rStyle w:val="Strong"/>
          <w:rFonts w:ascii="Source Sans Pro" w:eastAsiaTheme="majorEastAsia" w:hAnsi="Source Sans Pro"/>
        </w:rPr>
        <w:t>Answer 9:</w:t>
      </w:r>
      <w:r w:rsidRPr="00B21F21">
        <w:rPr>
          <w:rFonts w:ascii="Source Sans Pro" w:hAnsi="Source Sans Pro"/>
        </w:rPr>
        <w:t xml:space="preserve"> Arabic is not currently one of the identified languages in our LEP Plan.</w:t>
      </w:r>
    </w:p>
    <w:p w14:paraId="151DC5C8" w14:textId="77777777" w:rsidR="00B21F21" w:rsidRPr="00B21F21" w:rsidRDefault="00B21F21" w:rsidP="00B21F21">
      <w:pPr>
        <w:pStyle w:val="NormalWeb"/>
        <w:rPr>
          <w:rFonts w:ascii="Source Sans Pro" w:hAnsi="Source Sans Pro"/>
        </w:rPr>
      </w:pPr>
      <w:r w:rsidRPr="00B21F21">
        <w:rPr>
          <w:rStyle w:val="Strong"/>
          <w:rFonts w:ascii="Source Sans Pro" w:eastAsiaTheme="majorEastAsia" w:hAnsi="Source Sans Pro"/>
        </w:rPr>
        <w:t>Question 10:</w:t>
      </w:r>
      <w:r w:rsidRPr="00B21F21">
        <w:rPr>
          <w:rFonts w:ascii="Source Sans Pro" w:hAnsi="Source Sans Pro"/>
        </w:rPr>
        <w:t xml:space="preserve"> Are there existing partnerships with community organizations that could be leveraged for recruitment?</w:t>
      </w:r>
      <w:r w:rsidRPr="00B21F21">
        <w:rPr>
          <w:rFonts w:ascii="Source Sans Pro" w:hAnsi="Source Sans Pro"/>
        </w:rPr>
        <w:br/>
      </w:r>
      <w:r w:rsidRPr="00B21F21">
        <w:rPr>
          <w:rStyle w:val="Strong"/>
          <w:rFonts w:ascii="Source Sans Pro" w:eastAsiaTheme="majorEastAsia" w:hAnsi="Source Sans Pro"/>
        </w:rPr>
        <w:t>Answer 10:</w:t>
      </w:r>
      <w:r w:rsidRPr="00B21F21">
        <w:rPr>
          <w:rFonts w:ascii="Source Sans Pro" w:hAnsi="Source Sans Pro"/>
        </w:rPr>
        <w:t xml:space="preserve"> Not specifically identified at this time, but our MPO structure, which includes mayors, commissioners, and representatives from local jurisdictions, provides a strong basis for outreach and development of relevant partnerships. The Steering Committee to be developed for this project will also serve as a valuable resource for outreach.</w:t>
      </w:r>
    </w:p>
    <w:p w14:paraId="32395290" w14:textId="77777777" w:rsidR="00B21F21" w:rsidRPr="00B21F21" w:rsidRDefault="00B21F21" w:rsidP="00B21F21">
      <w:pPr>
        <w:pStyle w:val="NormalWeb"/>
        <w:rPr>
          <w:rFonts w:ascii="Source Sans Pro" w:hAnsi="Source Sans Pro"/>
        </w:rPr>
      </w:pPr>
      <w:r w:rsidRPr="00B21F21">
        <w:rPr>
          <w:rStyle w:val="Strong"/>
          <w:rFonts w:ascii="Source Sans Pro" w:eastAsiaTheme="majorEastAsia" w:hAnsi="Source Sans Pro"/>
        </w:rPr>
        <w:t>Question 11:</w:t>
      </w:r>
      <w:r w:rsidRPr="00B21F21">
        <w:rPr>
          <w:rFonts w:ascii="Source Sans Pro" w:hAnsi="Source Sans Pro"/>
        </w:rPr>
        <w:t xml:space="preserve"> Are respondents expected to record trips over one day, multiple days, or does that depend on household type?</w:t>
      </w:r>
      <w:r w:rsidRPr="00B21F21">
        <w:rPr>
          <w:rFonts w:ascii="Source Sans Pro" w:hAnsi="Source Sans Pro"/>
        </w:rPr>
        <w:br/>
      </w:r>
      <w:r w:rsidRPr="00B21F21">
        <w:rPr>
          <w:rStyle w:val="Strong"/>
          <w:rFonts w:ascii="Source Sans Pro" w:eastAsiaTheme="majorEastAsia" w:hAnsi="Source Sans Pro"/>
        </w:rPr>
        <w:t>Answer 11:</w:t>
      </w:r>
      <w:r w:rsidRPr="00B21F21">
        <w:rPr>
          <w:rFonts w:ascii="Source Sans Pro" w:hAnsi="Source Sans Pro"/>
        </w:rPr>
        <w:t xml:space="preserve"> This will be determined during the project. Consultants may propose the number of days, along with any other parameters they believe will best support effective data collection and meaningful study results.</w:t>
      </w:r>
    </w:p>
    <w:p w14:paraId="5C212E09" w14:textId="2D83F96E" w:rsidR="00B21F21" w:rsidRPr="00B21F21" w:rsidRDefault="00B21F21" w:rsidP="00B21F21">
      <w:pPr>
        <w:pStyle w:val="NormalWeb"/>
        <w:rPr>
          <w:rFonts w:ascii="Source Sans Pro" w:hAnsi="Source Sans Pro"/>
        </w:rPr>
      </w:pPr>
      <w:r w:rsidRPr="00B21F21">
        <w:rPr>
          <w:rStyle w:val="Strong"/>
          <w:rFonts w:ascii="Source Sans Pro" w:eastAsiaTheme="majorEastAsia" w:hAnsi="Source Sans Pro"/>
        </w:rPr>
        <w:t>Question 12:</w:t>
      </w:r>
      <w:r w:rsidRPr="00B21F21">
        <w:rPr>
          <w:rFonts w:ascii="Source Sans Pro" w:hAnsi="Source Sans Pro"/>
        </w:rPr>
        <w:t xml:space="preserve"> Since the project will span multiple calendar years, does WAMPO have a preferred method for handling personnel rate increases (such as annual merit increases)</w:t>
      </w:r>
      <w:r w:rsidR="00F93D9A">
        <w:rPr>
          <w:rFonts w:ascii="Source Sans Pro" w:hAnsi="Source Sans Pro"/>
        </w:rPr>
        <w:t xml:space="preserve"> that they would like detailed in submitted proposals</w:t>
      </w:r>
      <w:r w:rsidRPr="00B21F21">
        <w:rPr>
          <w:rFonts w:ascii="Source Sans Pro" w:hAnsi="Source Sans Pro"/>
        </w:rPr>
        <w:t>? Shoul</w:t>
      </w:r>
      <w:r w:rsidR="00F93D9A">
        <w:rPr>
          <w:rFonts w:ascii="Source Sans Pro" w:hAnsi="Source Sans Pro"/>
        </w:rPr>
        <w:t>d</w:t>
      </w:r>
      <w:r w:rsidRPr="00B21F21">
        <w:rPr>
          <w:rFonts w:ascii="Source Sans Pro" w:hAnsi="Source Sans Pro"/>
        </w:rPr>
        <w:t xml:space="preserve"> different rates </w:t>
      </w:r>
      <w:r w:rsidR="00F93D9A">
        <w:rPr>
          <w:rFonts w:ascii="Source Sans Pro" w:hAnsi="Source Sans Pro"/>
        </w:rPr>
        <w:t xml:space="preserve">be listed </w:t>
      </w:r>
      <w:r w:rsidRPr="00B21F21">
        <w:rPr>
          <w:rFonts w:ascii="Source Sans Pro" w:hAnsi="Source Sans Pro"/>
        </w:rPr>
        <w:t xml:space="preserve">for each calendar year for each staff </w:t>
      </w:r>
      <w:r w:rsidR="00F93D9A" w:rsidRPr="00B21F21">
        <w:rPr>
          <w:rFonts w:ascii="Source Sans Pro" w:hAnsi="Source Sans Pro"/>
        </w:rPr>
        <w:t>category or</w:t>
      </w:r>
      <w:r w:rsidRPr="00B21F21">
        <w:rPr>
          <w:rFonts w:ascii="Source Sans Pro" w:hAnsi="Source Sans Pro"/>
        </w:rPr>
        <w:t xml:space="preserve"> use a single blended rate for the entire project duration?</w:t>
      </w:r>
      <w:r w:rsidRPr="00B21F21">
        <w:rPr>
          <w:rFonts w:ascii="Source Sans Pro" w:hAnsi="Source Sans Pro"/>
        </w:rPr>
        <w:br/>
      </w:r>
      <w:r w:rsidRPr="00B21F21">
        <w:rPr>
          <w:rStyle w:val="Strong"/>
          <w:rFonts w:ascii="Source Sans Pro" w:eastAsiaTheme="majorEastAsia" w:hAnsi="Source Sans Pro"/>
        </w:rPr>
        <w:t>Answer 12:</w:t>
      </w:r>
      <w:r w:rsidRPr="00B21F21">
        <w:rPr>
          <w:rFonts w:ascii="Source Sans Pro" w:hAnsi="Source Sans Pro"/>
        </w:rPr>
        <w:t xml:space="preserve"> There is no prescribed method for accounting for merit-based hourly rate increases; however, using a single “blended” or average rate over the course of a multi-year project is not recommended. In the past, such adjustments have been handled </w:t>
      </w:r>
      <w:r w:rsidR="00F93D9A">
        <w:rPr>
          <w:rFonts w:ascii="Source Sans Pro" w:hAnsi="Source Sans Pro"/>
        </w:rPr>
        <w:t>during the project</w:t>
      </w:r>
      <w:r w:rsidR="00C13714">
        <w:rPr>
          <w:rFonts w:ascii="Source Sans Pro" w:hAnsi="Source Sans Pro"/>
        </w:rPr>
        <w:t>. This was accomplished</w:t>
      </w:r>
      <w:r w:rsidR="00F93D9A">
        <w:rPr>
          <w:rFonts w:ascii="Source Sans Pro" w:hAnsi="Source Sans Pro"/>
        </w:rPr>
        <w:t xml:space="preserve"> </w:t>
      </w:r>
      <w:r w:rsidRPr="00B21F21">
        <w:rPr>
          <w:rFonts w:ascii="Source Sans Pro" w:hAnsi="Source Sans Pro"/>
        </w:rPr>
        <w:t xml:space="preserve">through </w:t>
      </w:r>
      <w:r w:rsidR="00C13714">
        <w:rPr>
          <w:rFonts w:ascii="Source Sans Pro" w:hAnsi="Source Sans Pro"/>
        </w:rPr>
        <w:t xml:space="preserve">either </w:t>
      </w:r>
      <w:r w:rsidRPr="00B21F21">
        <w:rPr>
          <w:rFonts w:ascii="Source Sans Pro" w:hAnsi="Source Sans Pro"/>
        </w:rPr>
        <w:t>a supplemental contract to increase the total project cost to reflect higher labor costs, or by noting the labor rate changes in project progress reports when they do not change the overall project cost.</w:t>
      </w:r>
    </w:p>
    <w:p w14:paraId="7FEFF34C" w14:textId="285F45B9" w:rsidR="00B21F21" w:rsidRDefault="00B21F21" w:rsidP="00B21F21">
      <w:pPr>
        <w:pStyle w:val="NormalWeb"/>
        <w:rPr>
          <w:rFonts w:ascii="Source Sans Pro" w:hAnsi="Source Sans Pro"/>
        </w:rPr>
      </w:pPr>
      <w:r w:rsidRPr="00B21F21">
        <w:rPr>
          <w:rStyle w:val="Strong"/>
          <w:rFonts w:ascii="Source Sans Pro" w:eastAsiaTheme="majorEastAsia" w:hAnsi="Source Sans Pro"/>
        </w:rPr>
        <w:t>Question 13:</w:t>
      </w:r>
      <w:r w:rsidRPr="00B21F21">
        <w:rPr>
          <w:rFonts w:ascii="Source Sans Pro" w:hAnsi="Source Sans Pro"/>
        </w:rPr>
        <w:t xml:space="preserve"> If a proposal’s budget items are not initially detailed in a way that</w:t>
      </w:r>
      <w:r w:rsidR="00D51E77">
        <w:rPr>
          <w:rFonts w:ascii="Source Sans Pro" w:hAnsi="Source Sans Pro"/>
        </w:rPr>
        <w:t xml:space="preserve"> best</w:t>
      </w:r>
      <w:r w:rsidRPr="00B21F21">
        <w:rPr>
          <w:rFonts w:ascii="Source Sans Pro" w:hAnsi="Source Sans Pro"/>
        </w:rPr>
        <w:t xml:space="preserve"> ensures successful reimbursement</w:t>
      </w:r>
      <w:r w:rsidR="008E3DB4">
        <w:rPr>
          <w:rFonts w:ascii="Source Sans Pro" w:hAnsi="Source Sans Pro"/>
        </w:rPr>
        <w:t xml:space="preserve"> by</w:t>
      </w:r>
      <w:r w:rsidR="00AE750E">
        <w:rPr>
          <w:rFonts w:ascii="Source Sans Pro" w:hAnsi="Source Sans Pro"/>
        </w:rPr>
        <w:t xml:space="preserve"> WAMPO’s</w:t>
      </w:r>
      <w:r w:rsidR="008E3DB4">
        <w:rPr>
          <w:rFonts w:ascii="Source Sans Pro" w:hAnsi="Source Sans Pro"/>
        </w:rPr>
        <w:t xml:space="preserve"> state and federal partners</w:t>
      </w:r>
      <w:r w:rsidRPr="00B21F21">
        <w:rPr>
          <w:rFonts w:ascii="Source Sans Pro" w:hAnsi="Source Sans Pro"/>
        </w:rPr>
        <w:t>, can it still be considered?</w:t>
      </w:r>
      <w:r w:rsidRPr="00B21F21">
        <w:rPr>
          <w:rFonts w:ascii="Source Sans Pro" w:hAnsi="Source Sans Pro"/>
        </w:rPr>
        <w:br/>
      </w:r>
      <w:r w:rsidRPr="00B21F21">
        <w:rPr>
          <w:rStyle w:val="Strong"/>
          <w:rFonts w:ascii="Source Sans Pro" w:eastAsiaTheme="majorEastAsia" w:hAnsi="Source Sans Pro"/>
        </w:rPr>
        <w:t>Answer 13:</w:t>
      </w:r>
      <w:r w:rsidRPr="00B21F21">
        <w:rPr>
          <w:rFonts w:ascii="Source Sans Pro" w:hAnsi="Source Sans Pro"/>
        </w:rPr>
        <w:t xml:space="preserve"> </w:t>
      </w:r>
      <w:r w:rsidR="008E3DB4">
        <w:rPr>
          <w:rFonts w:ascii="Source Sans Pro" w:hAnsi="Source Sans Pro"/>
        </w:rPr>
        <w:t>The proposal</w:t>
      </w:r>
      <w:r w:rsidRPr="00B21F21">
        <w:rPr>
          <w:rFonts w:ascii="Source Sans Pro" w:hAnsi="Source Sans Pro"/>
        </w:rPr>
        <w:t xml:space="preserve"> can still be considered; however,</w:t>
      </w:r>
      <w:r w:rsidR="008E3DB4">
        <w:rPr>
          <w:rFonts w:ascii="Source Sans Pro" w:hAnsi="Source Sans Pro"/>
        </w:rPr>
        <w:t xml:space="preserve"> </w:t>
      </w:r>
      <w:r w:rsidR="008E3DB4" w:rsidRPr="00B21F21">
        <w:rPr>
          <w:rFonts w:ascii="Source Sans Pro" w:hAnsi="Source Sans Pro"/>
        </w:rPr>
        <w:t xml:space="preserve">if </w:t>
      </w:r>
      <w:r w:rsidR="008E3DB4">
        <w:rPr>
          <w:rFonts w:ascii="Source Sans Pro" w:hAnsi="Source Sans Pro"/>
        </w:rPr>
        <w:t>such a</w:t>
      </w:r>
      <w:r w:rsidR="008E3DB4" w:rsidRPr="00B21F21">
        <w:rPr>
          <w:rFonts w:ascii="Source Sans Pro" w:hAnsi="Source Sans Pro"/>
        </w:rPr>
        <w:t xml:space="preserve"> proposal is selected</w:t>
      </w:r>
      <w:r w:rsidR="008E3DB4">
        <w:rPr>
          <w:rFonts w:ascii="Source Sans Pro" w:hAnsi="Source Sans Pro"/>
        </w:rPr>
        <w:t>,</w:t>
      </w:r>
      <w:r w:rsidRPr="00B21F21">
        <w:rPr>
          <w:rFonts w:ascii="Source Sans Pro" w:hAnsi="Source Sans Pro"/>
        </w:rPr>
        <w:t xml:space="preserve"> the costs will need to be reviewed by</w:t>
      </w:r>
      <w:r w:rsidR="00AE750E">
        <w:rPr>
          <w:rFonts w:ascii="Source Sans Pro" w:hAnsi="Source Sans Pro"/>
        </w:rPr>
        <w:t xml:space="preserve"> state partners</w:t>
      </w:r>
      <w:r w:rsidRPr="00B21F21">
        <w:rPr>
          <w:rFonts w:ascii="Source Sans Pro" w:hAnsi="Source Sans Pro"/>
        </w:rPr>
        <w:t xml:space="preserve"> and may need to be clarified and </w:t>
      </w:r>
      <w:r w:rsidR="008E3DB4">
        <w:rPr>
          <w:rFonts w:ascii="Source Sans Pro" w:hAnsi="Source Sans Pro"/>
        </w:rPr>
        <w:t>appropriately</w:t>
      </w:r>
      <w:r w:rsidRPr="00B21F21">
        <w:rPr>
          <w:rFonts w:ascii="Source Sans Pro" w:hAnsi="Source Sans Pro"/>
        </w:rPr>
        <w:t xml:space="preserve"> categorized </w:t>
      </w:r>
      <w:r w:rsidR="00D51E77">
        <w:rPr>
          <w:rFonts w:ascii="Source Sans Pro" w:hAnsi="Source Sans Pro"/>
        </w:rPr>
        <w:t>prior to final contract execution</w:t>
      </w:r>
      <w:r w:rsidRPr="00B21F21">
        <w:rPr>
          <w:rFonts w:ascii="Source Sans Pro" w:hAnsi="Source Sans Pro"/>
        </w:rPr>
        <w:t>.</w:t>
      </w:r>
    </w:p>
    <w:p w14:paraId="25B05748" w14:textId="77777777" w:rsidR="009E02BE" w:rsidRDefault="009E02BE" w:rsidP="009E02BE">
      <w:pPr>
        <w:pStyle w:val="NormalWeb"/>
        <w:rPr>
          <w:rFonts w:ascii="Source Sans Pro" w:hAnsi="Source Sans Pro"/>
          <w:b/>
          <w:bCs/>
        </w:rPr>
      </w:pPr>
    </w:p>
    <w:p w14:paraId="4BDF7918" w14:textId="77777777" w:rsidR="009E02BE" w:rsidRPr="009E02BE" w:rsidRDefault="009E02BE" w:rsidP="009E02BE">
      <w:pPr>
        <w:pStyle w:val="NormalWeb"/>
        <w:rPr>
          <w:rFonts w:ascii="Source Sans Pro" w:hAnsi="Source Sans Pro"/>
        </w:rPr>
      </w:pPr>
      <w:r w:rsidRPr="009E02BE">
        <w:rPr>
          <w:rFonts w:ascii="Source Sans Pro" w:hAnsi="Source Sans Pro"/>
          <w:b/>
          <w:bCs/>
        </w:rPr>
        <w:lastRenderedPageBreak/>
        <w:t>Question 14:</w:t>
      </w:r>
      <w:r w:rsidRPr="009E02BE">
        <w:rPr>
          <w:rFonts w:ascii="Source Sans Pro" w:hAnsi="Source Sans Pro"/>
        </w:rPr>
        <w:t xml:space="preserve"> What has been your response rate for this survey in the past?</w:t>
      </w:r>
      <w:r w:rsidRPr="009E02BE">
        <w:rPr>
          <w:rFonts w:ascii="Source Sans Pro" w:hAnsi="Source Sans Pro"/>
        </w:rPr>
        <w:br/>
      </w:r>
      <w:r w:rsidRPr="009E02BE">
        <w:rPr>
          <w:rFonts w:ascii="Source Sans Pro" w:hAnsi="Source Sans Pro"/>
          <w:b/>
          <w:bCs/>
        </w:rPr>
        <w:t>Answer 14:</w:t>
      </w:r>
      <w:r w:rsidRPr="009E02BE">
        <w:rPr>
          <w:rFonts w:ascii="Source Sans Pro" w:hAnsi="Source Sans Pro"/>
        </w:rPr>
        <w:t xml:space="preserve"> For WAMPO’s last Household Travel Survey, in 2011, 4,000 randomly selected households were randomly recruited to participate. The target was 3,000 complete responses. The participation rate was 84.4%, with 3,376 households completing the survey.</w:t>
      </w:r>
    </w:p>
    <w:p w14:paraId="57357CB0" w14:textId="77777777" w:rsidR="009E02BE" w:rsidRPr="009E02BE" w:rsidRDefault="009E02BE" w:rsidP="009E02BE">
      <w:pPr>
        <w:pStyle w:val="NormalWeb"/>
        <w:rPr>
          <w:rFonts w:ascii="Source Sans Pro" w:hAnsi="Source Sans Pro"/>
        </w:rPr>
      </w:pPr>
      <w:r w:rsidRPr="009E02BE">
        <w:rPr>
          <w:rFonts w:ascii="Source Sans Pro" w:hAnsi="Source Sans Pro"/>
          <w:b/>
          <w:bCs/>
        </w:rPr>
        <w:t>Question 15:</w:t>
      </w:r>
      <w:r w:rsidRPr="009E02BE">
        <w:rPr>
          <w:rFonts w:ascii="Source Sans Pro" w:hAnsi="Source Sans Pro"/>
        </w:rPr>
        <w:t xml:space="preserve"> Can you please share past response rate percentages by survey format (telephone, mail, online, etc.)?</w:t>
      </w:r>
      <w:r w:rsidRPr="009E02BE">
        <w:rPr>
          <w:rFonts w:ascii="Source Sans Pro" w:hAnsi="Source Sans Pro"/>
        </w:rPr>
        <w:br/>
      </w:r>
      <w:r w:rsidRPr="009E02BE">
        <w:rPr>
          <w:rFonts w:ascii="Source Sans Pro" w:hAnsi="Source Sans Pro"/>
          <w:b/>
          <w:bCs/>
        </w:rPr>
        <w:t>Answer 15:</w:t>
      </w:r>
      <w:r w:rsidRPr="009E02BE">
        <w:rPr>
          <w:rFonts w:ascii="Source Sans Pro" w:hAnsi="Source Sans Pro"/>
        </w:rPr>
        <w:t xml:space="preserve"> The 2011 WAMPO’s Household Travel Survey was a 24-hour travel-diary survey recording trips by all household members aged five or older, with responses returned via U.S. mail (the new Household Travel survey may use (a) different format(s)). The participation rate was 84.4%.</w:t>
      </w:r>
    </w:p>
    <w:p w14:paraId="39FD4627" w14:textId="406C83EE" w:rsidR="009E02BE" w:rsidRPr="009E02BE" w:rsidRDefault="009E02BE" w:rsidP="009E02BE">
      <w:pPr>
        <w:pStyle w:val="NormalWeb"/>
        <w:rPr>
          <w:rFonts w:ascii="Source Sans Pro" w:hAnsi="Source Sans Pro"/>
        </w:rPr>
      </w:pPr>
      <w:r w:rsidRPr="009E02BE">
        <w:rPr>
          <w:rFonts w:ascii="Source Sans Pro" w:hAnsi="Source Sans Pro"/>
          <w:b/>
          <w:bCs/>
        </w:rPr>
        <w:t>Question 16:</w:t>
      </w:r>
      <w:r w:rsidRPr="009E02BE">
        <w:rPr>
          <w:rFonts w:ascii="Source Sans Pro" w:hAnsi="Source Sans Pro"/>
        </w:rPr>
        <w:t xml:space="preserve"> What response rate do you consider a success for the Household Travel Survey?</w:t>
      </w:r>
      <w:r w:rsidRPr="009E02BE">
        <w:rPr>
          <w:rFonts w:ascii="Source Sans Pro" w:hAnsi="Source Sans Pro"/>
        </w:rPr>
        <w:br/>
      </w:r>
      <w:r w:rsidRPr="009E02BE">
        <w:rPr>
          <w:rFonts w:ascii="Source Sans Pro" w:hAnsi="Source Sans Pro"/>
          <w:b/>
          <w:bCs/>
        </w:rPr>
        <w:t>Answer 16:</w:t>
      </w:r>
      <w:r w:rsidRPr="009E02BE">
        <w:rPr>
          <w:rFonts w:ascii="Source Sans Pro" w:hAnsi="Source Sans Pro"/>
        </w:rPr>
        <w:t xml:space="preserve"> Success, in the context of a household travel survey, is obtaining a representative sample of people’s travel patterns across a specified geographic area. The RFP calls for “at least 2,000 household</w:t>
      </w:r>
      <w:r>
        <w:rPr>
          <w:rFonts w:ascii="Source Sans Pro" w:hAnsi="Source Sans Pro"/>
        </w:rPr>
        <w:t>s</w:t>
      </w:r>
      <w:r w:rsidRPr="009E02BE">
        <w:rPr>
          <w:rFonts w:ascii="Source Sans Pro" w:hAnsi="Source Sans Pro"/>
        </w:rPr>
        <w:t xml:space="preserve"> from throughout the WAMPO TDM region or a number of household deemed large enough to produce statistically significant results, whichever is greater,” as opposed to a specific response rate. Ideally, the sampling plan developed as part of the project will include target/estimated response rates and outline methods to achieve the desired numbers of completed survey responses, including for subsets of the regional population that are likely to have significantly different travel behavior from one another.</w:t>
      </w:r>
    </w:p>
    <w:p w14:paraId="44791451" w14:textId="77777777" w:rsidR="009E02BE" w:rsidRDefault="009E02BE" w:rsidP="009E02BE">
      <w:pPr>
        <w:pStyle w:val="NormalWeb"/>
        <w:rPr>
          <w:rFonts w:ascii="Source Sans Pro" w:hAnsi="Source Sans Pro"/>
        </w:rPr>
      </w:pPr>
      <w:r w:rsidRPr="009E02BE">
        <w:rPr>
          <w:rFonts w:ascii="Source Sans Pro" w:hAnsi="Source Sans Pro"/>
          <w:b/>
          <w:bCs/>
        </w:rPr>
        <w:t>Question 17:</w:t>
      </w:r>
      <w:r w:rsidRPr="009E02BE">
        <w:rPr>
          <w:rFonts w:ascii="Source Sans Pro" w:hAnsi="Source Sans Pro"/>
        </w:rPr>
        <w:t xml:space="preserve"> Is 12% Disadvantaged Business Enterprise (DBE) participation required or only preferred?</w:t>
      </w:r>
      <w:r w:rsidRPr="009E02BE">
        <w:rPr>
          <w:rFonts w:ascii="Source Sans Pro" w:hAnsi="Source Sans Pro"/>
        </w:rPr>
        <w:br/>
      </w:r>
      <w:r w:rsidRPr="009E02BE">
        <w:rPr>
          <w:rFonts w:ascii="Source Sans Pro" w:hAnsi="Source Sans Pro"/>
          <w:b/>
          <w:bCs/>
        </w:rPr>
        <w:t>Answer 17:</w:t>
      </w:r>
      <w:r w:rsidRPr="009E02BE">
        <w:rPr>
          <w:rFonts w:ascii="Source Sans Pro" w:hAnsi="Source Sans Pro"/>
        </w:rPr>
        <w:t xml:space="preserve"> From RFP Attachment #1, Kansas Department of Transportation (KDOT) Required Contract Provision 07-18-80-R26, Federal Aid Contracts Utilization of Disadvantaged Businesses (page 18 of RFP): “It is the bidder's responsibility to meet the DBE contract goals or to provide information to enable KDOT to determine that, prior to bidding, the bidder made good faith efforts to meet such goals.” RFP Attachment #2, KDOT Required Contract Provision 07-19-80-R12 (MPO), DBE Contract Goal (page 24 of RFP) provides instructions for documenting DBE participation or a “good faith effort.”</w:t>
      </w:r>
    </w:p>
    <w:p w14:paraId="429DF2FD" w14:textId="407F9E64" w:rsidR="009E02BE" w:rsidRDefault="009E02BE" w:rsidP="009E02BE">
      <w:pPr>
        <w:pStyle w:val="NormalWeb"/>
        <w:spacing w:before="0" w:beforeAutospacing="0" w:after="0" w:afterAutospacing="0"/>
        <w:rPr>
          <w:rFonts w:ascii="Source Sans Pro" w:hAnsi="Source Sans Pro"/>
        </w:rPr>
      </w:pPr>
      <w:r w:rsidRPr="009E02BE">
        <w:rPr>
          <w:rFonts w:ascii="Source Sans Pro" w:hAnsi="Source Sans Pro"/>
          <w:b/>
          <w:bCs/>
        </w:rPr>
        <w:t>Q</w:t>
      </w:r>
      <w:r w:rsidRPr="009E02BE">
        <w:rPr>
          <w:rFonts w:ascii="Source Sans Pro" w:hAnsi="Source Sans Pro"/>
          <w:b/>
          <w:bCs/>
        </w:rPr>
        <w:t>uestion 18</w:t>
      </w:r>
      <w:r w:rsidRPr="009E02BE">
        <w:rPr>
          <w:rFonts w:ascii="Source Sans Pro" w:hAnsi="Source Sans Pro"/>
          <w:b/>
          <w:bCs/>
        </w:rPr>
        <w:t>:</w:t>
      </w:r>
      <w:r w:rsidRPr="009E02BE">
        <w:rPr>
          <w:rFonts w:ascii="Source Sans Pro" w:hAnsi="Source Sans Pro"/>
        </w:rPr>
        <w:t xml:space="preserve"> Does the required PO Box need to be local / located in Wichita?</w:t>
      </w:r>
    </w:p>
    <w:p w14:paraId="5137ED0A" w14:textId="75856E45" w:rsidR="009E02BE" w:rsidRPr="009E02BE" w:rsidRDefault="009E02BE" w:rsidP="009E02BE">
      <w:pPr>
        <w:pStyle w:val="NormalWeb"/>
        <w:spacing w:before="0" w:beforeAutospacing="0" w:after="0" w:afterAutospacing="0"/>
        <w:rPr>
          <w:rFonts w:ascii="Source Sans Pro" w:hAnsi="Source Sans Pro"/>
        </w:rPr>
      </w:pPr>
      <w:r>
        <w:rPr>
          <w:rFonts w:ascii="Source Sans Pro" w:hAnsi="Source Sans Pro"/>
          <w:b/>
          <w:bCs/>
        </w:rPr>
        <w:t xml:space="preserve">Answer 18: </w:t>
      </w:r>
      <w:r w:rsidRPr="009E02BE">
        <w:rPr>
          <w:rFonts w:ascii="Source Sans Pro" w:hAnsi="Source Sans Pro"/>
        </w:rPr>
        <w:t>A local mailing address is preferred. If a non-local PO Box/address is proposed, then justification should be provided.</w:t>
      </w:r>
    </w:p>
    <w:p w14:paraId="1F879BA5" w14:textId="77777777" w:rsidR="009E02BE" w:rsidRPr="009E02BE" w:rsidRDefault="009E02BE" w:rsidP="009E02BE">
      <w:pPr>
        <w:pStyle w:val="NormalWeb"/>
        <w:rPr>
          <w:rFonts w:ascii="Source Sans Pro" w:hAnsi="Source Sans Pro"/>
        </w:rPr>
      </w:pPr>
    </w:p>
    <w:p w14:paraId="3DF408AD" w14:textId="77777777" w:rsidR="009E02BE" w:rsidRPr="00B21F21" w:rsidRDefault="009E02BE" w:rsidP="00B21F21">
      <w:pPr>
        <w:pStyle w:val="NormalWeb"/>
        <w:rPr>
          <w:rFonts w:ascii="Source Sans Pro" w:hAnsi="Source Sans Pro"/>
        </w:rPr>
      </w:pPr>
    </w:p>
    <w:p w14:paraId="6CDE3CF0" w14:textId="56C23188" w:rsidR="00D6216A" w:rsidRDefault="00D6216A" w:rsidP="00B21F21"/>
    <w:sectPr w:rsidR="00D62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panose1 w:val="020B0503030403020204"/>
    <w:charset w:val="00"/>
    <w:family w:val="swiss"/>
    <w:notTrueType/>
    <w:pitch w:val="variable"/>
    <w:sig w:usb0="600002F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6A"/>
    <w:rsid w:val="00150215"/>
    <w:rsid w:val="00325613"/>
    <w:rsid w:val="00346024"/>
    <w:rsid w:val="003840C1"/>
    <w:rsid w:val="005326C5"/>
    <w:rsid w:val="007E350B"/>
    <w:rsid w:val="008019A7"/>
    <w:rsid w:val="0083331B"/>
    <w:rsid w:val="008E3DB4"/>
    <w:rsid w:val="0095553C"/>
    <w:rsid w:val="009E02BE"/>
    <w:rsid w:val="00AA5A15"/>
    <w:rsid w:val="00AE750E"/>
    <w:rsid w:val="00B21F21"/>
    <w:rsid w:val="00C13714"/>
    <w:rsid w:val="00C70E3A"/>
    <w:rsid w:val="00CB1C0C"/>
    <w:rsid w:val="00D51E77"/>
    <w:rsid w:val="00D6216A"/>
    <w:rsid w:val="00D64C3A"/>
    <w:rsid w:val="00DE6D5D"/>
    <w:rsid w:val="00E255EC"/>
    <w:rsid w:val="00E31FD3"/>
    <w:rsid w:val="00F93D9A"/>
    <w:rsid w:val="00FB5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7A81"/>
  <w15:chartTrackingRefBased/>
  <w15:docId w15:val="{7455FA77-448A-4D10-ADA9-F38E6171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1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1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1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1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1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1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1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1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1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1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1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1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1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1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1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16A"/>
    <w:rPr>
      <w:rFonts w:eastAsiaTheme="majorEastAsia" w:cstheme="majorBidi"/>
      <w:color w:val="272727" w:themeColor="text1" w:themeTint="D8"/>
    </w:rPr>
  </w:style>
  <w:style w:type="paragraph" w:styleId="Title">
    <w:name w:val="Title"/>
    <w:basedOn w:val="Normal"/>
    <w:next w:val="Normal"/>
    <w:link w:val="TitleChar"/>
    <w:uiPriority w:val="10"/>
    <w:qFormat/>
    <w:rsid w:val="00D62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1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1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1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16A"/>
    <w:pPr>
      <w:spacing w:before="160"/>
      <w:jc w:val="center"/>
    </w:pPr>
    <w:rPr>
      <w:i/>
      <w:iCs/>
      <w:color w:val="404040" w:themeColor="text1" w:themeTint="BF"/>
    </w:rPr>
  </w:style>
  <w:style w:type="character" w:customStyle="1" w:styleId="QuoteChar">
    <w:name w:val="Quote Char"/>
    <w:basedOn w:val="DefaultParagraphFont"/>
    <w:link w:val="Quote"/>
    <w:uiPriority w:val="29"/>
    <w:rsid w:val="00D6216A"/>
    <w:rPr>
      <w:i/>
      <w:iCs/>
      <w:color w:val="404040" w:themeColor="text1" w:themeTint="BF"/>
    </w:rPr>
  </w:style>
  <w:style w:type="paragraph" w:styleId="ListParagraph">
    <w:name w:val="List Paragraph"/>
    <w:basedOn w:val="Normal"/>
    <w:uiPriority w:val="34"/>
    <w:qFormat/>
    <w:rsid w:val="00D6216A"/>
    <w:pPr>
      <w:ind w:left="720"/>
      <w:contextualSpacing/>
    </w:pPr>
  </w:style>
  <w:style w:type="character" w:styleId="IntenseEmphasis">
    <w:name w:val="Intense Emphasis"/>
    <w:basedOn w:val="DefaultParagraphFont"/>
    <w:uiPriority w:val="21"/>
    <w:qFormat/>
    <w:rsid w:val="00D6216A"/>
    <w:rPr>
      <w:i/>
      <w:iCs/>
      <w:color w:val="0F4761" w:themeColor="accent1" w:themeShade="BF"/>
    </w:rPr>
  </w:style>
  <w:style w:type="paragraph" w:styleId="IntenseQuote">
    <w:name w:val="Intense Quote"/>
    <w:basedOn w:val="Normal"/>
    <w:next w:val="Normal"/>
    <w:link w:val="IntenseQuoteChar"/>
    <w:uiPriority w:val="30"/>
    <w:qFormat/>
    <w:rsid w:val="00D62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16A"/>
    <w:rPr>
      <w:i/>
      <w:iCs/>
      <w:color w:val="0F4761" w:themeColor="accent1" w:themeShade="BF"/>
    </w:rPr>
  </w:style>
  <w:style w:type="character" w:styleId="IntenseReference">
    <w:name w:val="Intense Reference"/>
    <w:basedOn w:val="DefaultParagraphFont"/>
    <w:uiPriority w:val="32"/>
    <w:qFormat/>
    <w:rsid w:val="00D6216A"/>
    <w:rPr>
      <w:b/>
      <w:bCs/>
      <w:smallCaps/>
      <w:color w:val="0F4761" w:themeColor="accent1" w:themeShade="BF"/>
      <w:spacing w:val="5"/>
    </w:rPr>
  </w:style>
  <w:style w:type="paragraph" w:styleId="NormalWeb">
    <w:name w:val="Normal (Web)"/>
    <w:basedOn w:val="Normal"/>
    <w:uiPriority w:val="99"/>
    <w:semiHidden/>
    <w:unhideWhenUsed/>
    <w:rsid w:val="00B21F2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21F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4792">
      <w:bodyDiv w:val="1"/>
      <w:marLeft w:val="0"/>
      <w:marRight w:val="0"/>
      <w:marTop w:val="0"/>
      <w:marBottom w:val="0"/>
      <w:divBdr>
        <w:top w:val="none" w:sz="0" w:space="0" w:color="auto"/>
        <w:left w:val="none" w:sz="0" w:space="0" w:color="auto"/>
        <w:bottom w:val="none" w:sz="0" w:space="0" w:color="auto"/>
        <w:right w:val="none" w:sz="0" w:space="0" w:color="auto"/>
      </w:divBdr>
    </w:div>
    <w:div w:id="719403865">
      <w:bodyDiv w:val="1"/>
      <w:marLeft w:val="0"/>
      <w:marRight w:val="0"/>
      <w:marTop w:val="0"/>
      <w:marBottom w:val="0"/>
      <w:divBdr>
        <w:top w:val="none" w:sz="0" w:space="0" w:color="auto"/>
        <w:left w:val="none" w:sz="0" w:space="0" w:color="auto"/>
        <w:bottom w:val="none" w:sz="0" w:space="0" w:color="auto"/>
        <w:right w:val="none" w:sz="0" w:space="0" w:color="auto"/>
      </w:divBdr>
    </w:div>
    <w:div w:id="977996096">
      <w:bodyDiv w:val="1"/>
      <w:marLeft w:val="0"/>
      <w:marRight w:val="0"/>
      <w:marTop w:val="0"/>
      <w:marBottom w:val="0"/>
      <w:divBdr>
        <w:top w:val="none" w:sz="0" w:space="0" w:color="auto"/>
        <w:left w:val="none" w:sz="0" w:space="0" w:color="auto"/>
        <w:bottom w:val="none" w:sz="0" w:space="0" w:color="auto"/>
        <w:right w:val="none" w:sz="0" w:space="0" w:color="auto"/>
      </w:divBdr>
    </w:div>
    <w:div w:id="1045645737">
      <w:bodyDiv w:val="1"/>
      <w:marLeft w:val="0"/>
      <w:marRight w:val="0"/>
      <w:marTop w:val="0"/>
      <w:marBottom w:val="0"/>
      <w:divBdr>
        <w:top w:val="none" w:sz="0" w:space="0" w:color="auto"/>
        <w:left w:val="none" w:sz="0" w:space="0" w:color="auto"/>
        <w:bottom w:val="none" w:sz="0" w:space="0" w:color="auto"/>
        <w:right w:val="none" w:sz="0" w:space="0" w:color="auto"/>
      </w:divBdr>
    </w:div>
    <w:div w:id="1190987968">
      <w:bodyDiv w:val="1"/>
      <w:marLeft w:val="0"/>
      <w:marRight w:val="0"/>
      <w:marTop w:val="0"/>
      <w:marBottom w:val="0"/>
      <w:divBdr>
        <w:top w:val="none" w:sz="0" w:space="0" w:color="auto"/>
        <w:left w:val="none" w:sz="0" w:space="0" w:color="auto"/>
        <w:bottom w:val="none" w:sz="0" w:space="0" w:color="auto"/>
        <w:right w:val="none" w:sz="0" w:space="0" w:color="auto"/>
      </w:divBdr>
    </w:div>
    <w:div w:id="1527448980">
      <w:bodyDiv w:val="1"/>
      <w:marLeft w:val="0"/>
      <w:marRight w:val="0"/>
      <w:marTop w:val="0"/>
      <w:marBottom w:val="0"/>
      <w:divBdr>
        <w:top w:val="none" w:sz="0" w:space="0" w:color="auto"/>
        <w:left w:val="none" w:sz="0" w:space="0" w:color="auto"/>
        <w:bottom w:val="none" w:sz="0" w:space="0" w:color="auto"/>
        <w:right w:val="none" w:sz="0" w:space="0" w:color="auto"/>
      </w:divBdr>
    </w:div>
    <w:div w:id="1604997235">
      <w:bodyDiv w:val="1"/>
      <w:marLeft w:val="0"/>
      <w:marRight w:val="0"/>
      <w:marTop w:val="0"/>
      <w:marBottom w:val="0"/>
      <w:divBdr>
        <w:top w:val="none" w:sz="0" w:space="0" w:color="auto"/>
        <w:left w:val="none" w:sz="0" w:space="0" w:color="auto"/>
        <w:bottom w:val="none" w:sz="0" w:space="0" w:color="auto"/>
        <w:right w:val="none" w:sz="0" w:space="0" w:color="auto"/>
      </w:divBdr>
    </w:div>
    <w:div w:id="1640573472">
      <w:bodyDiv w:val="1"/>
      <w:marLeft w:val="0"/>
      <w:marRight w:val="0"/>
      <w:marTop w:val="0"/>
      <w:marBottom w:val="0"/>
      <w:divBdr>
        <w:top w:val="none" w:sz="0" w:space="0" w:color="auto"/>
        <w:left w:val="none" w:sz="0" w:space="0" w:color="auto"/>
        <w:bottom w:val="none" w:sz="0" w:space="0" w:color="auto"/>
        <w:right w:val="none" w:sz="0" w:space="0" w:color="auto"/>
      </w:divBdr>
    </w:div>
    <w:div w:id="1717856666">
      <w:bodyDiv w:val="1"/>
      <w:marLeft w:val="0"/>
      <w:marRight w:val="0"/>
      <w:marTop w:val="0"/>
      <w:marBottom w:val="0"/>
      <w:divBdr>
        <w:top w:val="none" w:sz="0" w:space="0" w:color="auto"/>
        <w:left w:val="none" w:sz="0" w:space="0" w:color="auto"/>
        <w:bottom w:val="none" w:sz="0" w:space="0" w:color="auto"/>
        <w:right w:val="none" w:sz="0" w:space="0" w:color="auto"/>
      </w:divBdr>
    </w:div>
    <w:div w:id="2004041572">
      <w:bodyDiv w:val="1"/>
      <w:marLeft w:val="0"/>
      <w:marRight w:val="0"/>
      <w:marTop w:val="0"/>
      <w:marBottom w:val="0"/>
      <w:divBdr>
        <w:top w:val="none" w:sz="0" w:space="0" w:color="auto"/>
        <w:left w:val="none" w:sz="0" w:space="0" w:color="auto"/>
        <w:bottom w:val="none" w:sz="0" w:space="0" w:color="auto"/>
        <w:right w:val="none" w:sz="0" w:space="0" w:color="auto"/>
      </w:divBdr>
    </w:div>
    <w:div w:id="2008096313">
      <w:bodyDiv w:val="1"/>
      <w:marLeft w:val="0"/>
      <w:marRight w:val="0"/>
      <w:marTop w:val="0"/>
      <w:marBottom w:val="0"/>
      <w:divBdr>
        <w:top w:val="none" w:sz="0" w:space="0" w:color="auto"/>
        <w:left w:val="none" w:sz="0" w:space="0" w:color="auto"/>
        <w:bottom w:val="none" w:sz="0" w:space="0" w:color="auto"/>
        <w:right w:val="none" w:sz="0" w:space="0" w:color="auto"/>
      </w:divBdr>
    </w:div>
    <w:div w:id="2116637202">
      <w:bodyDiv w:val="1"/>
      <w:marLeft w:val="0"/>
      <w:marRight w:val="0"/>
      <w:marTop w:val="0"/>
      <w:marBottom w:val="0"/>
      <w:divBdr>
        <w:top w:val="none" w:sz="0" w:space="0" w:color="auto"/>
        <w:left w:val="none" w:sz="0" w:space="0" w:color="auto"/>
        <w:bottom w:val="none" w:sz="0" w:space="0" w:color="auto"/>
        <w:right w:val="none" w:sz="0" w:space="0" w:color="auto"/>
      </w:divBdr>
    </w:div>
    <w:div w:id="214731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Peter T.</dc:creator>
  <cp:keywords/>
  <dc:description/>
  <cp:lastModifiedBy>Mohr, Peter T.</cp:lastModifiedBy>
  <cp:revision>3</cp:revision>
  <cp:lastPrinted>2025-08-12T18:20:00Z</cp:lastPrinted>
  <dcterms:created xsi:type="dcterms:W3CDTF">2025-08-19T16:35:00Z</dcterms:created>
  <dcterms:modified xsi:type="dcterms:W3CDTF">2025-08-19T16:48:00Z</dcterms:modified>
</cp:coreProperties>
</file>